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31520" cy="7156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5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СОБРАНИЕ ПРЕДСТАВИТЕЛЕЙ МУНИЦИПАЛЬНОГО ОБРАЗОВАНИЯ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АЛАГИРСКИЙ РАЙОН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РЕСПУБЛИКА СЕВЕРНАЯ ОСЕТИЯ-АЛАНИЯ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42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мая   2017 г .           </w:t>
        <w:tab/>
        <w:tab/>
        <w:tab/>
        <w:tab/>
        <w:t xml:space="preserve">             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6 -7 -8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424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Алагир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Правил землепользования и застройки </w:t>
      </w:r>
    </w:p>
    <w:p w:rsidR="00000000" w:rsidDel="00000000" w:rsidP="00000000" w:rsidRDefault="00000000" w:rsidRPr="00000000" w14:paraId="00000012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color w:val="0f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Майрамадагского сельского поселения Алагирского района </w:t>
      </w:r>
    </w:p>
    <w:p w:rsidR="00000000" w:rsidDel="00000000" w:rsidP="00000000" w:rsidRDefault="00000000" w:rsidRPr="00000000" w14:paraId="00000013">
      <w:pPr>
        <w:spacing w:after="0" w:line="360" w:lineRule="auto"/>
        <w:ind w:firstLine="708"/>
        <w:jc w:val="center"/>
        <w:rPr>
          <w:rFonts w:ascii="Times New Roman" w:cs="Times New Roman" w:eastAsia="Times New Roman" w:hAnsi="Times New Roman"/>
          <w:color w:val="0f010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Республики Северная Осетия-Алания  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f010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13"/>
          <w:szCs w:val="13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Федерации». Градостроительным кодексом Российской Федерации, Уставом муниципального образования Алагирский район Республики Северная Осетия – Алания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 учетом протокола № 2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u w:val="none"/>
            <w:rtl w:val="0"/>
          </w:rPr>
          <w:t xml:space="preserve">публичных слушаний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от 07. 06. 2016 г. по проекту внесения изменений в Правила землепользования и застройки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Майрамадагского сельского поселения Алагирского района Республики Северная Осетия-Алания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заключения об их результатах от 08. 06. 2016 г.,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Собрание представителей Алагирского района решает: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pos="2828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1.Утвердить Правила землепользования и застройки Майрамадагского сельского поселения Алагирского района РСО-Алания в составе: </w:t>
      </w:r>
    </w:p>
    <w:p w:rsidR="00000000" w:rsidDel="00000000" w:rsidP="00000000" w:rsidRDefault="00000000" w:rsidRPr="00000000" w14:paraId="00000019">
      <w:pPr>
        <w:shd w:fill="e9ecf1" w:val="clear"/>
        <w:spacing w:after="0" w:line="240" w:lineRule="auto"/>
        <w:ind w:left="-900"/>
        <w:rPr>
          <w:rFonts w:ascii="Times New Roman" w:cs="Times New Roman" w:eastAsia="Times New Roman" w:hAnsi="Times New Roman"/>
          <w:color w:val="2424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42424"/>
          <w:sz w:val="31"/>
          <w:szCs w:val="31"/>
          <w:rtl w:val="0"/>
        </w:rPr>
        <w:t xml:space="preserve">           I.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28"/>
          <w:szCs w:val="28"/>
          <w:rtl w:val="0"/>
        </w:rPr>
        <w:t xml:space="preserve">Текстовые материалы:</w:t>
      </w:r>
    </w:p>
    <w:tbl>
      <w:tblPr>
        <w:tblStyle w:val="Table1"/>
        <w:tblW w:w="8141.0" w:type="dxa"/>
        <w:jc w:val="left"/>
        <w:tblInd w:w="0.0" w:type="pct"/>
        <w:tblLayout w:type="fixed"/>
        <w:tblLook w:val="0400"/>
      </w:tblPr>
      <w:tblGrid>
        <w:gridCol w:w="644"/>
        <w:gridCol w:w="5936"/>
        <w:gridCol w:w="1561"/>
        <w:tblGridChange w:id="0">
          <w:tblGrid>
            <w:gridCol w:w="644"/>
            <w:gridCol w:w="5936"/>
            <w:gridCol w:w="1561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NN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Наименование материалов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Гриф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Пояснительная записка Правила землепользования и застройки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несекретно</w:t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2d2d2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4">
      <w:pPr>
        <w:shd w:fill="e9ecf1" w:val="clear"/>
        <w:spacing w:after="0" w:line="240" w:lineRule="auto"/>
        <w:rPr>
          <w:rFonts w:ascii="Arial" w:cs="Arial" w:eastAsia="Arial" w:hAnsi="Arial"/>
          <w:color w:val="242424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e9ecf1" w:val="clear"/>
        <w:spacing w:after="0" w:line="240" w:lineRule="auto"/>
        <w:rPr>
          <w:rFonts w:ascii="Arial" w:cs="Arial" w:eastAsia="Arial" w:hAnsi="Arial"/>
          <w:color w:val="242424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e9ecf1" w:val="clear"/>
        <w:spacing w:after="0" w:line="240" w:lineRule="auto"/>
        <w:rPr>
          <w:rFonts w:ascii="Arial" w:cs="Arial" w:eastAsia="Arial" w:hAnsi="Arial"/>
          <w:color w:val="242424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e9ecf1" w:val="clear"/>
        <w:spacing w:after="0" w:line="240" w:lineRule="auto"/>
        <w:rPr>
          <w:rFonts w:ascii="Arial" w:cs="Arial" w:eastAsia="Arial" w:hAnsi="Arial"/>
          <w:color w:val="242424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e9ecf1" w:val="clear"/>
        <w:spacing w:after="0" w:line="240" w:lineRule="auto"/>
        <w:rPr>
          <w:rFonts w:ascii="Arial" w:cs="Arial" w:eastAsia="Arial" w:hAnsi="Arial"/>
          <w:color w:val="242424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e9ecf1" w:val="clear"/>
        <w:spacing w:after="0" w:line="240" w:lineRule="auto"/>
        <w:rPr>
          <w:rFonts w:ascii="Arial" w:cs="Arial" w:eastAsia="Arial" w:hAnsi="Arial"/>
          <w:color w:val="242424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color w:val="242424"/>
          <w:sz w:val="31"/>
          <w:szCs w:val="31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242424"/>
          <w:sz w:val="31"/>
          <w:szCs w:val="31"/>
          <w:rtl w:val="0"/>
        </w:rPr>
        <w:t xml:space="preserve">II. Графические материалы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17"/>
          <w:szCs w:val="17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511.000000000002" w:type="dxa"/>
        <w:jc w:val="left"/>
        <w:tblInd w:w="0.0" w:type="pct"/>
        <w:tblLayout w:type="fixed"/>
        <w:tblLook w:val="0400"/>
      </w:tblPr>
      <w:tblGrid>
        <w:gridCol w:w="630"/>
        <w:gridCol w:w="5002"/>
        <w:gridCol w:w="1556"/>
        <w:gridCol w:w="1323"/>
        <w:tblGridChange w:id="0">
          <w:tblGrid>
            <w:gridCol w:w="630"/>
            <w:gridCol w:w="5002"/>
            <w:gridCol w:w="1556"/>
            <w:gridCol w:w="1323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NN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Наименование чертежей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Гриф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Масштаб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Карта градостроительного зонирования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несекретно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1:10000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Карта градостроительного зонирования в границах населенного пункта село  Майрамадаг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несекретно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1:2000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Карта градостроительного зонирования в границах населенного пункта село   Кодахджин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несекретно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0.0" w:type="dxa"/>
              <w:bottom w:w="0.0" w:type="dxa"/>
              <w:right w:w="110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8"/>
                <w:szCs w:val="28"/>
                <w:rtl w:val="0"/>
              </w:rPr>
              <w:t xml:space="preserve">1:2000</w:t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2828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828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2. Признать утратившим силу решение Собрания представителей  Майрамадагского сельского поселения Алагирского района Республики Северная Осетия - Алания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от 04.02. 2015 г. №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Правил землепользования и застройки Майрамадагского сельского поселения Алагирского района Республики Северная Осетия-Алания».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3. Администрации местного самоуправления муниципального образования Алагирский район Республики Северная Осетия – Алания разместить настоящее решение с прилагаемыми Правилами землепользования и застройки Майрамадагского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сельского поселения Алагирского района Республики Северная Осетия-Алания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федеральной государственной информационной системе территориального планирования (ФГИС ТП) и на официальном сайте администрации местного самоуправления муниципального образования Алагирский район Республики Северная Осетия – Алания.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4. Настоящее решение вступает в силу с момента официального опубликования.</w:t>
      </w:r>
    </w:p>
    <w:p w:rsidR="00000000" w:rsidDel="00000000" w:rsidP="00000000" w:rsidRDefault="00000000" w:rsidRPr="00000000" w14:paraId="0000004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муниципального образования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Алагирский район</w:t>
        <w:tab/>
        <w:tab/>
        <w:tab/>
        <w:tab/>
        <w:tab/>
        <w:t xml:space="preserve">             А. А. Бутаев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45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45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45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567" w:top="284" w:left="1418" w:right="567" w:header="0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pandia.ru/text/category/publichnie_slushaniya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